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5234"/>
        <w:gridCol w:w="2126"/>
      </w:tblGrid>
      <w:tr w:rsidR="006959BA" w14:paraId="32BC0201" w14:textId="398C2B10" w:rsidTr="006959BA">
        <w:tc>
          <w:tcPr>
            <w:tcW w:w="1996" w:type="dxa"/>
          </w:tcPr>
          <w:p w14:paraId="3ED6AB6D" w14:textId="4CA517C2" w:rsidR="006959BA" w:rsidRDefault="006959BA" w:rsidP="00096C32">
            <w:pPr>
              <w:pStyle w:val="a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8D5254" wp14:editId="735C5877">
                  <wp:extent cx="1126067" cy="1179459"/>
                  <wp:effectExtent l="0" t="0" r="4445" b="1905"/>
                  <wp:docPr id="2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932FF3-7700-5205-A5A3-64B80002DF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C5932FF3-7700-5205-A5A3-64B80002DF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2" t="8060" r="9055" b="7313"/>
                          <a:stretch/>
                        </pic:blipFill>
                        <pic:spPr>
                          <a:xfrm>
                            <a:off x="0" y="0"/>
                            <a:ext cx="1138493" cy="119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  <w:vAlign w:val="bottom"/>
          </w:tcPr>
          <w:p w14:paraId="48BD1287" w14:textId="77777777" w:rsidR="006959BA" w:rsidRDefault="006959BA" w:rsidP="006959BA">
            <w:pPr>
              <w:pStyle w:val="ad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7715E">
              <w:rPr>
                <w:b/>
                <w:bCs/>
                <w:color w:val="000000" w:themeColor="text1"/>
                <w:sz w:val="28"/>
                <w:szCs w:val="28"/>
              </w:rPr>
              <w:t>ИНФОРМАЦИОННОЕ ПИСЬМО</w:t>
            </w:r>
          </w:p>
          <w:p w14:paraId="4C7B56C1" w14:textId="3E9A95D3" w:rsidR="006959BA" w:rsidRDefault="006959BA" w:rsidP="006959BA">
            <w:pPr>
              <w:pStyle w:val="a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5CE625" w14:textId="5EEAA6B7" w:rsidR="006959BA" w:rsidRDefault="006959BA" w:rsidP="006959BA">
            <w:pPr>
              <w:pStyle w:val="ad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0A90A5" wp14:editId="001BE43E">
                  <wp:extent cx="1117600" cy="1117600"/>
                  <wp:effectExtent l="0" t="0" r="0" b="0"/>
                  <wp:docPr id="1354079287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FBC063-BE8A-E30B-CAF4-7C3E02B0A9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14FBC063-BE8A-E30B-CAF4-7C3E02B0A9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45" cy="112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0396C" w14:textId="2CE8DBE2" w:rsidR="00096C32" w:rsidRPr="006959BA" w:rsidRDefault="00096C32" w:rsidP="006959BA">
      <w:pPr>
        <w:pStyle w:val="ad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31A7C5F1" w14:textId="77777777" w:rsidR="00096C32" w:rsidRPr="0017715E" w:rsidRDefault="00096C32" w:rsidP="00096C32">
      <w:pPr>
        <w:pStyle w:val="ad"/>
        <w:jc w:val="center"/>
        <w:rPr>
          <w:b/>
          <w:bCs/>
          <w:i/>
          <w:iCs/>
          <w:color w:val="0F4761" w:themeColor="accent1" w:themeShade="BF"/>
          <w:sz w:val="24"/>
          <w:szCs w:val="24"/>
        </w:rPr>
      </w:pPr>
      <w:r w:rsidRPr="0017715E">
        <w:rPr>
          <w:b/>
          <w:bCs/>
          <w:i/>
          <w:iCs/>
          <w:color w:val="0F4761" w:themeColor="accent1" w:themeShade="BF"/>
          <w:sz w:val="24"/>
          <w:szCs w:val="24"/>
        </w:rPr>
        <w:t>XXIII Международная студенческая научная конференция «Сопоставительное изучение германских и романских языков и литератур»</w:t>
      </w:r>
    </w:p>
    <w:p w14:paraId="0C618300" w14:textId="77777777" w:rsidR="00096C32" w:rsidRPr="0017715E" w:rsidRDefault="00096C32" w:rsidP="00096C32">
      <w:pPr>
        <w:pStyle w:val="ad"/>
        <w:jc w:val="center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г. Донецк</w:t>
      </w:r>
    </w:p>
    <w:p w14:paraId="13EB3F50" w14:textId="77777777" w:rsidR="00096C32" w:rsidRPr="0017715E" w:rsidRDefault="00096C32" w:rsidP="00096C32">
      <w:pPr>
        <w:pStyle w:val="ad"/>
        <w:jc w:val="center"/>
        <w:rPr>
          <w:b/>
          <w:bCs/>
          <w:color w:val="BF4E14" w:themeColor="accent2" w:themeShade="BF"/>
          <w:sz w:val="24"/>
          <w:szCs w:val="24"/>
        </w:rPr>
      </w:pPr>
      <w:r w:rsidRPr="0017715E">
        <w:rPr>
          <w:b/>
          <w:bCs/>
          <w:color w:val="BF4E14" w:themeColor="accent2" w:themeShade="BF"/>
          <w:sz w:val="24"/>
          <w:szCs w:val="24"/>
        </w:rPr>
        <w:t>20 марта 2025 года</w:t>
      </w:r>
    </w:p>
    <w:p w14:paraId="42E8AF43" w14:textId="77777777" w:rsidR="00096C32" w:rsidRDefault="00096C32" w:rsidP="00096C32">
      <w:pPr>
        <w:pStyle w:val="ad"/>
        <w:jc w:val="both"/>
        <w:rPr>
          <w:b/>
          <w:bCs/>
          <w:color w:val="0F4761" w:themeColor="accent1" w:themeShade="BF"/>
          <w:sz w:val="24"/>
          <w:szCs w:val="24"/>
        </w:rPr>
      </w:pPr>
    </w:p>
    <w:p w14:paraId="739876F4" w14:textId="77777777" w:rsidR="00096C32" w:rsidRPr="0017715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Организатор конференции</w:t>
      </w:r>
      <w:r w:rsidRPr="0017715E">
        <w:rPr>
          <w:color w:val="000000" w:themeColor="text1"/>
          <w:sz w:val="24"/>
          <w:szCs w:val="24"/>
        </w:rPr>
        <w:t xml:space="preserve">: Факультет иностранных языков </w:t>
      </w:r>
      <w:bookmarkStart w:id="0" w:name="_Hlk188191159"/>
      <w:r w:rsidRPr="0017715E">
        <w:rPr>
          <w:color w:val="000000" w:themeColor="text1"/>
          <w:sz w:val="24"/>
          <w:szCs w:val="24"/>
        </w:rPr>
        <w:t>ФГБОУ ВО «ДонГУ»</w:t>
      </w:r>
      <w:bookmarkEnd w:id="0"/>
    </w:p>
    <w:p w14:paraId="3B1851C5" w14:textId="77777777" w:rsidR="00096C32" w:rsidRPr="0017715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Место проведения конференции</w:t>
      </w:r>
      <w:r w:rsidRPr="0017715E">
        <w:rPr>
          <w:color w:val="000000" w:themeColor="text1"/>
          <w:sz w:val="24"/>
          <w:szCs w:val="24"/>
        </w:rPr>
        <w:t>: Главный корпус, пр. Гурова, 14, 283001, г. Донецк, ДНР, Российская Федерация</w:t>
      </w:r>
    </w:p>
    <w:p w14:paraId="2F05D865" w14:textId="77777777" w:rsidR="00096C32" w:rsidRPr="0017715E" w:rsidRDefault="00096C32" w:rsidP="00096C32">
      <w:pPr>
        <w:pStyle w:val="ad"/>
        <w:jc w:val="both"/>
        <w:rPr>
          <w:i/>
          <w:iCs/>
          <w:color w:val="000000" w:themeColor="text1"/>
          <w:sz w:val="24"/>
          <w:szCs w:val="24"/>
        </w:rPr>
      </w:pPr>
    </w:p>
    <w:p w14:paraId="0E4B6EC4" w14:textId="77777777" w:rsidR="00096C32" w:rsidRPr="0017715E" w:rsidRDefault="00096C32" w:rsidP="00096C32">
      <w:pPr>
        <w:pStyle w:val="ad"/>
        <w:jc w:val="center"/>
        <w:rPr>
          <w:i/>
          <w:iCs/>
          <w:color w:val="000000" w:themeColor="text1"/>
          <w:sz w:val="24"/>
          <w:szCs w:val="24"/>
        </w:rPr>
      </w:pPr>
      <w:r w:rsidRPr="0017715E">
        <w:rPr>
          <w:i/>
          <w:iCs/>
          <w:color w:val="000000" w:themeColor="text1"/>
          <w:sz w:val="24"/>
          <w:szCs w:val="24"/>
        </w:rPr>
        <w:t>К участию в конференции приглашаются студенты всех курсов обучения</w:t>
      </w:r>
    </w:p>
    <w:p w14:paraId="7EE50108" w14:textId="77777777" w:rsidR="00096C32" w:rsidRPr="0017715E" w:rsidRDefault="00096C32" w:rsidP="00096C32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</w:p>
    <w:p w14:paraId="32659A13" w14:textId="77777777" w:rsidR="00096C32" w:rsidRPr="0017715E" w:rsidRDefault="00096C32" w:rsidP="00096C32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Основные научные направления (секции)</w:t>
      </w:r>
    </w:p>
    <w:p w14:paraId="7ED4A2A4" w14:textId="77777777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Лексические и фразеологические единицы германских, романских и славянских языков в сопоставительном аспекте.</w:t>
      </w:r>
    </w:p>
    <w:p w14:paraId="3E706251" w14:textId="77F8DF14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 xml:space="preserve">Языковые единицы и категории в лингвокультурологическом, </w:t>
      </w:r>
      <w:proofErr w:type="spellStart"/>
      <w:r w:rsidRPr="0017715E">
        <w:rPr>
          <w:color w:val="000000" w:themeColor="text1"/>
          <w:sz w:val="24"/>
          <w:szCs w:val="24"/>
        </w:rPr>
        <w:t>лингвокогнитивном</w:t>
      </w:r>
      <w:proofErr w:type="spellEnd"/>
      <w:r w:rsidRPr="0017715E">
        <w:rPr>
          <w:color w:val="000000" w:themeColor="text1"/>
          <w:sz w:val="24"/>
          <w:szCs w:val="24"/>
        </w:rPr>
        <w:t xml:space="preserve"> и</w:t>
      </w:r>
      <w:r w:rsidR="00397170">
        <w:rPr>
          <w:color w:val="000000" w:themeColor="text1"/>
          <w:sz w:val="24"/>
          <w:szCs w:val="24"/>
        </w:rPr>
        <w:t> </w:t>
      </w:r>
      <w:r w:rsidRPr="0017715E">
        <w:rPr>
          <w:color w:val="000000" w:themeColor="text1"/>
          <w:sz w:val="24"/>
          <w:szCs w:val="24"/>
        </w:rPr>
        <w:t>социолингвистическом аспектах.</w:t>
      </w:r>
    </w:p>
    <w:p w14:paraId="78789743" w14:textId="77777777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Языковая номинация в германских, романских и славянских языках.</w:t>
      </w:r>
    </w:p>
    <w:p w14:paraId="454FDD60" w14:textId="77777777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Актуальные проблемы переводоведения и межкультурной коммуникации.</w:t>
      </w:r>
    </w:p>
    <w:p w14:paraId="23EC856B" w14:textId="77777777" w:rsidR="00096C32" w:rsidRPr="0017715E" w:rsidRDefault="00096C32" w:rsidP="00096C32">
      <w:pPr>
        <w:pStyle w:val="ad"/>
        <w:numPr>
          <w:ilvl w:val="0"/>
          <w:numId w:val="1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>Зарубежная литература: жанр, метод, стиль.</w:t>
      </w:r>
    </w:p>
    <w:p w14:paraId="43C70FAB" w14:textId="77777777" w:rsidR="00096C32" w:rsidRPr="0017715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</w:p>
    <w:p w14:paraId="46B0FCFF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F4761" w:themeColor="accent1" w:themeShade="BF"/>
          <w:sz w:val="24"/>
          <w:szCs w:val="24"/>
        </w:rPr>
        <w:t>Рабочие языки конференции</w:t>
      </w:r>
      <w:r w:rsidRPr="002E318E">
        <w:rPr>
          <w:color w:val="000000" w:themeColor="text1"/>
          <w:sz w:val="24"/>
          <w:szCs w:val="24"/>
        </w:rPr>
        <w:t>: русский, английский, немецкий, французский.</w:t>
      </w:r>
    </w:p>
    <w:p w14:paraId="68BB92E3" w14:textId="77777777" w:rsidR="00BA5F3F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F4761" w:themeColor="accent1" w:themeShade="BF"/>
          <w:sz w:val="24"/>
          <w:szCs w:val="24"/>
        </w:rPr>
        <w:t>Участие в конференции</w:t>
      </w:r>
      <w:r w:rsidRPr="002E318E">
        <w:rPr>
          <w:color w:val="000000" w:themeColor="text1"/>
          <w:sz w:val="24"/>
          <w:szCs w:val="24"/>
        </w:rPr>
        <w:t xml:space="preserve">: </w:t>
      </w:r>
      <w:r w:rsidRPr="002E318E">
        <w:rPr>
          <w:b/>
          <w:bCs/>
          <w:color w:val="BF4E14" w:themeColor="accent2" w:themeShade="BF"/>
          <w:sz w:val="24"/>
          <w:szCs w:val="24"/>
        </w:rPr>
        <w:t>бесплатное</w:t>
      </w:r>
      <w:r w:rsidRPr="002E318E">
        <w:rPr>
          <w:color w:val="000000" w:themeColor="text1"/>
          <w:sz w:val="24"/>
          <w:szCs w:val="24"/>
        </w:rPr>
        <w:t xml:space="preserve">. Сборник материалов конференции участники могут бесплатно скачать на сайте репозитория ФГБОУ ВО «ДонГУ». </w:t>
      </w:r>
    </w:p>
    <w:p w14:paraId="170B4884" w14:textId="1C41463A" w:rsidR="00BA5F3F" w:rsidRDefault="00096C32" w:rsidP="00096C32">
      <w:pPr>
        <w:pStyle w:val="ad"/>
        <w:jc w:val="both"/>
        <w:rPr>
          <w:rFonts w:eastAsiaTheme="majorEastAsia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Для участия в конференции необходимо заполнить </w:t>
      </w:r>
      <w:r w:rsidRPr="002E318E">
        <w:rPr>
          <w:b/>
          <w:bCs/>
          <w:color w:val="000000" w:themeColor="text1"/>
          <w:sz w:val="24"/>
          <w:szCs w:val="24"/>
        </w:rPr>
        <w:t>заявку</w:t>
      </w:r>
      <w:r w:rsidRPr="002E318E">
        <w:rPr>
          <w:color w:val="000000" w:themeColor="text1"/>
          <w:sz w:val="24"/>
          <w:szCs w:val="24"/>
        </w:rPr>
        <w:t xml:space="preserve"> </w:t>
      </w:r>
      <w:r w:rsidR="00BA5F3F">
        <w:rPr>
          <w:color w:val="000000" w:themeColor="text1"/>
          <w:sz w:val="24"/>
          <w:szCs w:val="24"/>
        </w:rPr>
        <w:t>по ссылке:</w:t>
      </w:r>
      <w:r w:rsidR="00BA5F3F" w:rsidRPr="00BA5F3F">
        <w:rPr>
          <w:rFonts w:eastAsiaTheme="majorEastAsia"/>
          <w:sz w:val="24"/>
          <w:szCs w:val="24"/>
        </w:rPr>
        <w:t xml:space="preserve"> </w:t>
      </w:r>
      <w:hyperlink r:id="rId7" w:history="1">
        <w:proofErr w:type="spellStart"/>
        <w:r w:rsidR="00BA5F3F" w:rsidRPr="00703D09">
          <w:rPr>
            <w:rStyle w:val="ac"/>
            <w:rFonts w:eastAsiaTheme="majorEastAsia"/>
            <w:sz w:val="24"/>
            <w:szCs w:val="24"/>
          </w:rPr>
          <w:t>https</w:t>
        </w:r>
        <w:proofErr w:type="spellEnd"/>
        <w:r w:rsidR="00BA5F3F" w:rsidRPr="00703D09">
          <w:rPr>
            <w:rStyle w:val="ac"/>
            <w:rFonts w:eastAsiaTheme="majorEastAsia"/>
            <w:sz w:val="24"/>
            <w:szCs w:val="24"/>
          </w:rPr>
          <w:t>://</w:t>
        </w:r>
        <w:proofErr w:type="spellStart"/>
        <w:r w:rsidR="00BA5F3F" w:rsidRPr="00703D09">
          <w:rPr>
            <w:rStyle w:val="ac"/>
            <w:rFonts w:eastAsiaTheme="majorEastAsia"/>
            <w:sz w:val="24"/>
            <w:szCs w:val="24"/>
          </w:rPr>
          <w:t>forms.yandex.ru</w:t>
        </w:r>
        <w:proofErr w:type="spellEnd"/>
        <w:r w:rsidR="00BA5F3F" w:rsidRPr="00703D09">
          <w:rPr>
            <w:rStyle w:val="ac"/>
            <w:rFonts w:eastAsiaTheme="majorEastAsia"/>
            <w:sz w:val="24"/>
            <w:szCs w:val="24"/>
          </w:rPr>
          <w:t>/u/678ccab384227c0bd03e3742/</w:t>
        </w:r>
      </w:hyperlink>
    </w:p>
    <w:p w14:paraId="57B243F1" w14:textId="66BFCB3F" w:rsidR="00BA5F3F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00000" w:themeColor="text1"/>
          <w:sz w:val="24"/>
          <w:szCs w:val="24"/>
        </w:rPr>
        <w:t>Тезисы</w:t>
      </w:r>
      <w:r w:rsidRPr="002E318E">
        <w:rPr>
          <w:color w:val="000000" w:themeColor="text1"/>
          <w:sz w:val="24"/>
          <w:szCs w:val="24"/>
        </w:rPr>
        <w:t xml:space="preserve"> необходимо выслать на электронный адрес конференции </w:t>
      </w:r>
      <w:hyperlink r:id="rId8" w:history="1">
        <w:proofErr w:type="spellStart"/>
        <w:r w:rsidR="00BA5F3F" w:rsidRPr="00703D09">
          <w:rPr>
            <w:rStyle w:val="ac"/>
            <w:rFonts w:eastAsiaTheme="majorEastAsia"/>
            <w:sz w:val="24"/>
            <w:szCs w:val="24"/>
            <w:lang w:val="en-US"/>
          </w:rPr>
          <w:t>fia</w:t>
        </w:r>
        <w:proofErr w:type="spellEnd"/>
        <w:r w:rsidR="00BA5F3F" w:rsidRPr="00703D09">
          <w:rPr>
            <w:rStyle w:val="ac"/>
            <w:rFonts w:eastAsiaTheme="majorEastAsia"/>
            <w:sz w:val="24"/>
            <w:szCs w:val="24"/>
          </w:rPr>
          <w:t>.</w:t>
        </w:r>
        <w:r w:rsidR="00BA5F3F" w:rsidRPr="00703D09">
          <w:rPr>
            <w:rStyle w:val="ac"/>
            <w:rFonts w:eastAsiaTheme="majorEastAsia"/>
            <w:sz w:val="24"/>
            <w:szCs w:val="24"/>
            <w:lang w:val="en-US"/>
          </w:rPr>
          <w:t>conf</w:t>
        </w:r>
        <w:r w:rsidR="00BA5F3F" w:rsidRPr="00703D09">
          <w:rPr>
            <w:rStyle w:val="ac"/>
            <w:rFonts w:eastAsiaTheme="majorEastAsia"/>
            <w:sz w:val="24"/>
            <w:szCs w:val="24"/>
          </w:rPr>
          <w:t>@</w:t>
        </w:r>
        <w:r w:rsidR="00BA5F3F" w:rsidRPr="00703D09">
          <w:rPr>
            <w:rStyle w:val="ac"/>
            <w:rFonts w:eastAsiaTheme="majorEastAsia"/>
            <w:sz w:val="24"/>
            <w:szCs w:val="24"/>
            <w:lang w:val="en-US"/>
          </w:rPr>
          <w:t>donnu</w:t>
        </w:r>
        <w:r w:rsidR="00BA5F3F" w:rsidRPr="00703D09">
          <w:rPr>
            <w:rStyle w:val="ac"/>
            <w:rFonts w:eastAsiaTheme="majorEastAsia"/>
            <w:sz w:val="24"/>
            <w:szCs w:val="24"/>
          </w:rPr>
          <w:t>.</w:t>
        </w:r>
        <w:proofErr w:type="spellStart"/>
        <w:r w:rsidR="00BA5F3F" w:rsidRPr="00703D09">
          <w:rPr>
            <w:rStyle w:val="ac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2E318E">
        <w:rPr>
          <w:color w:val="000000" w:themeColor="text1"/>
          <w:sz w:val="24"/>
          <w:szCs w:val="24"/>
        </w:rPr>
        <w:t xml:space="preserve"> прикрепленным файлом в формате </w:t>
      </w:r>
      <w:r w:rsidRPr="002E318E">
        <w:rPr>
          <w:color w:val="000000" w:themeColor="text1"/>
          <w:sz w:val="24"/>
          <w:szCs w:val="24"/>
          <w:lang w:val="en-US"/>
        </w:rPr>
        <w:t>Microsoft</w:t>
      </w:r>
      <w:r w:rsidRPr="002E318E">
        <w:rPr>
          <w:color w:val="000000" w:themeColor="text1"/>
          <w:sz w:val="24"/>
          <w:szCs w:val="24"/>
        </w:rPr>
        <w:t xml:space="preserve"> </w:t>
      </w:r>
      <w:r w:rsidRPr="002E318E">
        <w:rPr>
          <w:color w:val="000000" w:themeColor="text1"/>
          <w:sz w:val="24"/>
          <w:szCs w:val="24"/>
          <w:lang w:val="en-US"/>
        </w:rPr>
        <w:t>Word</w:t>
      </w:r>
      <w:r w:rsidRPr="002E318E">
        <w:rPr>
          <w:color w:val="000000" w:themeColor="text1"/>
          <w:sz w:val="24"/>
          <w:szCs w:val="24"/>
        </w:rPr>
        <w:t xml:space="preserve"> (</w:t>
      </w:r>
      <w:proofErr w:type="spellStart"/>
      <w:r w:rsidRPr="002E318E">
        <w:rPr>
          <w:color w:val="000000" w:themeColor="text1"/>
          <w:sz w:val="24"/>
          <w:szCs w:val="24"/>
        </w:rPr>
        <w:t>doc</w:t>
      </w:r>
      <w:proofErr w:type="spellEnd"/>
      <w:r w:rsidRPr="002E318E">
        <w:rPr>
          <w:color w:val="000000" w:themeColor="text1"/>
          <w:sz w:val="24"/>
          <w:szCs w:val="24"/>
        </w:rPr>
        <w:t xml:space="preserve">. или </w:t>
      </w:r>
      <w:r w:rsidRPr="002E318E">
        <w:rPr>
          <w:color w:val="000000" w:themeColor="text1"/>
          <w:sz w:val="24"/>
          <w:szCs w:val="24"/>
          <w:lang w:val="en-US"/>
        </w:rPr>
        <w:t>docx</w:t>
      </w:r>
      <w:r w:rsidRPr="002E318E">
        <w:rPr>
          <w:color w:val="000000" w:themeColor="text1"/>
          <w:sz w:val="24"/>
          <w:szCs w:val="24"/>
        </w:rPr>
        <w:t xml:space="preserve">.). В названии файла необходимо указать </w:t>
      </w:r>
      <w:r w:rsidR="00CB1E65">
        <w:rPr>
          <w:color w:val="000000" w:themeColor="text1"/>
          <w:sz w:val="24"/>
          <w:szCs w:val="24"/>
        </w:rPr>
        <w:t xml:space="preserve">номер секции и </w:t>
      </w:r>
      <w:r w:rsidRPr="002E318E">
        <w:rPr>
          <w:color w:val="000000" w:themeColor="text1"/>
          <w:sz w:val="24"/>
          <w:szCs w:val="24"/>
        </w:rPr>
        <w:t xml:space="preserve">фамилию участника латинскими буквами, напр.: </w:t>
      </w:r>
      <w:r w:rsidR="00CB1E65" w:rsidRPr="00597FB7">
        <w:rPr>
          <w:i/>
          <w:iCs/>
          <w:color w:val="000000" w:themeColor="text1"/>
          <w:sz w:val="24"/>
          <w:szCs w:val="24"/>
        </w:rPr>
        <w:t>3_</w:t>
      </w:r>
      <w:r w:rsidRPr="00597FB7">
        <w:rPr>
          <w:i/>
          <w:iCs/>
          <w:color w:val="000000" w:themeColor="text1"/>
          <w:sz w:val="24"/>
          <w:szCs w:val="24"/>
        </w:rPr>
        <w:t>ivanov_abstract.doc</w:t>
      </w:r>
      <w:r w:rsidRPr="00597FB7">
        <w:rPr>
          <w:color w:val="000000" w:themeColor="text1"/>
          <w:sz w:val="24"/>
          <w:szCs w:val="24"/>
        </w:rPr>
        <w:t>.</w:t>
      </w:r>
      <w:r w:rsidRPr="002E318E">
        <w:rPr>
          <w:color w:val="000000" w:themeColor="text1"/>
          <w:sz w:val="24"/>
          <w:szCs w:val="24"/>
        </w:rPr>
        <w:t xml:space="preserve"> В</w:t>
      </w:r>
      <w:r w:rsidR="00397170">
        <w:rPr>
          <w:color w:val="000000" w:themeColor="text1"/>
          <w:sz w:val="24"/>
          <w:szCs w:val="24"/>
        </w:rPr>
        <w:t> </w:t>
      </w:r>
      <w:r w:rsidRPr="002E318E">
        <w:rPr>
          <w:color w:val="000000" w:themeColor="text1"/>
          <w:sz w:val="24"/>
          <w:szCs w:val="24"/>
        </w:rPr>
        <w:t>теме письма следует указать слова «</w:t>
      </w:r>
      <w:r w:rsidR="00AE744B">
        <w:rPr>
          <w:color w:val="000000" w:themeColor="text1"/>
          <w:sz w:val="24"/>
          <w:szCs w:val="24"/>
          <w:lang w:val="en-US"/>
        </w:rPr>
        <w:t>XXIII</w:t>
      </w:r>
      <w:r w:rsidR="00AE744B">
        <w:rPr>
          <w:color w:val="000000" w:themeColor="text1"/>
          <w:sz w:val="24"/>
          <w:szCs w:val="24"/>
        </w:rPr>
        <w:t xml:space="preserve"> Международная студенческая конференция</w:t>
      </w:r>
      <w:r w:rsidRPr="002E318E">
        <w:rPr>
          <w:color w:val="000000" w:themeColor="text1"/>
          <w:sz w:val="24"/>
          <w:szCs w:val="24"/>
        </w:rPr>
        <w:t xml:space="preserve">». </w:t>
      </w:r>
    </w:p>
    <w:p w14:paraId="34701ED4" w14:textId="1C4ECFE6" w:rsidR="00BA5F3F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Тезисы должны сопровождаться </w:t>
      </w:r>
      <w:r w:rsidRPr="002E318E">
        <w:rPr>
          <w:b/>
          <w:bCs/>
          <w:color w:val="000000" w:themeColor="text1"/>
          <w:sz w:val="24"/>
          <w:szCs w:val="24"/>
        </w:rPr>
        <w:t>рекомендацией научного руководителя</w:t>
      </w:r>
      <w:r w:rsidRPr="002E318E">
        <w:rPr>
          <w:color w:val="000000" w:themeColor="text1"/>
          <w:sz w:val="24"/>
          <w:szCs w:val="24"/>
        </w:rPr>
        <w:t xml:space="preserve"> (отсканированный текст тезисов с Ф.И.О. и подписью или электронное сообщение от</w:t>
      </w:r>
      <w:r w:rsidR="00397170">
        <w:rPr>
          <w:color w:val="000000" w:themeColor="text1"/>
          <w:sz w:val="24"/>
          <w:szCs w:val="24"/>
        </w:rPr>
        <w:t> </w:t>
      </w:r>
      <w:r w:rsidRPr="002E318E">
        <w:rPr>
          <w:color w:val="000000" w:themeColor="text1"/>
          <w:sz w:val="24"/>
          <w:szCs w:val="24"/>
        </w:rPr>
        <w:t xml:space="preserve">научного руководителя). </w:t>
      </w:r>
    </w:p>
    <w:p w14:paraId="0EE68F5E" w14:textId="5520CC42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Необходимо также предоставить </w:t>
      </w:r>
      <w:r w:rsidRPr="002E318E">
        <w:rPr>
          <w:b/>
          <w:bCs/>
          <w:color w:val="000000" w:themeColor="text1"/>
          <w:sz w:val="24"/>
          <w:szCs w:val="24"/>
        </w:rPr>
        <w:t>отчет о проверке на антиплагиат</w:t>
      </w:r>
      <w:r w:rsidRPr="002E318E">
        <w:rPr>
          <w:color w:val="000000" w:themeColor="text1"/>
          <w:sz w:val="24"/>
          <w:szCs w:val="24"/>
        </w:rPr>
        <w:t xml:space="preserve"> (</w:t>
      </w:r>
      <w:r w:rsidRPr="002E318E">
        <w:rPr>
          <w:i/>
          <w:iCs/>
          <w:color w:val="000000" w:themeColor="text1"/>
          <w:sz w:val="24"/>
          <w:szCs w:val="24"/>
        </w:rPr>
        <w:t>оригинальность не</w:t>
      </w:r>
      <w:r w:rsidR="00397170">
        <w:rPr>
          <w:i/>
          <w:iCs/>
          <w:color w:val="000000" w:themeColor="text1"/>
          <w:sz w:val="24"/>
          <w:szCs w:val="24"/>
        </w:rPr>
        <w:t> </w:t>
      </w:r>
      <w:r w:rsidRPr="002E318E">
        <w:rPr>
          <w:i/>
          <w:iCs/>
          <w:color w:val="000000" w:themeColor="text1"/>
          <w:sz w:val="24"/>
          <w:szCs w:val="24"/>
        </w:rPr>
        <w:t>менее 70%</w:t>
      </w:r>
      <w:r w:rsidRPr="002E318E">
        <w:rPr>
          <w:color w:val="000000" w:themeColor="text1"/>
          <w:sz w:val="24"/>
          <w:szCs w:val="24"/>
        </w:rPr>
        <w:t xml:space="preserve">). Рекомендуемый сайт проверки – </w:t>
      </w:r>
      <w:hyperlink r:id="rId9" w:history="1">
        <w:proofErr w:type="spellStart"/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</w:rPr>
          <w:t>https</w:t>
        </w:r>
        <w:proofErr w:type="spellEnd"/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</w:rPr>
          <w:t>://</w:t>
        </w:r>
        <w:proofErr w:type="spellStart"/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</w:rPr>
          <w:t>antiplagiat.ru</w:t>
        </w:r>
        <w:proofErr w:type="spellEnd"/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</w:rPr>
          <w:t>/</w:t>
        </w:r>
      </w:hyperlink>
      <w:r w:rsidRPr="002E318E">
        <w:rPr>
          <w:color w:val="000000" w:themeColor="text1"/>
          <w:sz w:val="24"/>
          <w:szCs w:val="24"/>
        </w:rPr>
        <w:t>.</w:t>
      </w:r>
    </w:p>
    <w:p w14:paraId="3E16BCA0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F4761" w:themeColor="accent1" w:themeShade="BF"/>
          <w:sz w:val="24"/>
          <w:szCs w:val="24"/>
        </w:rPr>
        <w:t>Крайний срок регистрации и подачи материалов</w:t>
      </w:r>
      <w:r w:rsidRPr="002E318E">
        <w:rPr>
          <w:color w:val="000000" w:themeColor="text1"/>
          <w:sz w:val="24"/>
          <w:szCs w:val="24"/>
        </w:rPr>
        <w:t xml:space="preserve">: </w:t>
      </w:r>
      <w:r w:rsidRPr="002E318E">
        <w:rPr>
          <w:b/>
          <w:bCs/>
          <w:color w:val="BF4E14" w:themeColor="accent2" w:themeShade="BF"/>
          <w:sz w:val="24"/>
          <w:szCs w:val="24"/>
        </w:rPr>
        <w:t>1 марта 2025 года</w:t>
      </w:r>
      <w:r w:rsidRPr="002E318E">
        <w:rPr>
          <w:color w:val="000000" w:themeColor="text1"/>
          <w:sz w:val="24"/>
          <w:szCs w:val="24"/>
        </w:rPr>
        <w:t>.</w:t>
      </w:r>
    </w:p>
    <w:p w14:paraId="160F3F20" w14:textId="77777777" w:rsidR="00397170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F4761" w:themeColor="accent1" w:themeShade="BF"/>
          <w:sz w:val="24"/>
          <w:szCs w:val="24"/>
        </w:rPr>
        <w:t>Контактные лица</w:t>
      </w:r>
      <w:r w:rsidRPr="002E318E">
        <w:rPr>
          <w:color w:val="000000" w:themeColor="text1"/>
          <w:sz w:val="24"/>
          <w:szCs w:val="24"/>
        </w:rPr>
        <w:t xml:space="preserve">: </w:t>
      </w:r>
    </w:p>
    <w:p w14:paraId="1CC17CA1" w14:textId="123F1C06" w:rsidR="00397170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i/>
          <w:iCs/>
          <w:color w:val="000000" w:themeColor="text1"/>
          <w:sz w:val="24"/>
          <w:szCs w:val="24"/>
        </w:rPr>
        <w:t>Войтенко Елена Юрьевна</w:t>
      </w:r>
      <w:r w:rsidR="00CB1E65">
        <w:rPr>
          <w:i/>
          <w:iCs/>
          <w:color w:val="000000" w:themeColor="text1"/>
          <w:sz w:val="24"/>
          <w:szCs w:val="24"/>
        </w:rPr>
        <w:t>,</w:t>
      </w:r>
      <w:r w:rsidRPr="002E318E">
        <w:rPr>
          <w:color w:val="000000" w:themeColor="text1"/>
          <w:sz w:val="24"/>
          <w:szCs w:val="24"/>
        </w:rPr>
        <w:t xml:space="preserve"> </w:t>
      </w:r>
      <w:r w:rsidR="00B52751" w:rsidRPr="002E318E">
        <w:rPr>
          <w:color w:val="000000" w:themeColor="text1"/>
          <w:sz w:val="24"/>
          <w:szCs w:val="24"/>
        </w:rPr>
        <w:t>к.ф.н., доцент кафедры английской филологии</w:t>
      </w:r>
      <w:r w:rsidR="00B52751">
        <w:rPr>
          <w:color w:val="000000" w:themeColor="text1"/>
          <w:sz w:val="24"/>
          <w:szCs w:val="24"/>
        </w:rPr>
        <w:t xml:space="preserve">, </w:t>
      </w:r>
      <w:proofErr w:type="spellStart"/>
      <w:r w:rsidRPr="002E318E">
        <w:rPr>
          <w:color w:val="000000" w:themeColor="text1"/>
          <w:sz w:val="24"/>
          <w:szCs w:val="24"/>
        </w:rPr>
        <w:t>e-mail</w:t>
      </w:r>
      <w:proofErr w:type="spellEnd"/>
      <w:r w:rsidRPr="002E318E">
        <w:rPr>
          <w:color w:val="000000" w:themeColor="text1"/>
          <w:sz w:val="24"/>
          <w:szCs w:val="24"/>
        </w:rPr>
        <w:t xml:space="preserve">: </w:t>
      </w:r>
      <w:hyperlink r:id="rId10" w:history="1">
        <w:proofErr w:type="spellStart"/>
        <w:r w:rsidR="00397170" w:rsidRPr="00703D09">
          <w:rPr>
            <w:rStyle w:val="ac"/>
            <w:sz w:val="24"/>
            <w:szCs w:val="24"/>
          </w:rPr>
          <w:t>e.voitenko@list.ru</w:t>
        </w:r>
        <w:proofErr w:type="spellEnd"/>
      </w:hyperlink>
      <w:r w:rsidRPr="002E318E">
        <w:rPr>
          <w:color w:val="000000" w:themeColor="text1"/>
          <w:sz w:val="24"/>
          <w:szCs w:val="24"/>
        </w:rPr>
        <w:t xml:space="preserve">; </w:t>
      </w:r>
    </w:p>
    <w:p w14:paraId="0C9562C0" w14:textId="0E0CF00D" w:rsidR="00B52751" w:rsidRDefault="00096C32" w:rsidP="00096C32">
      <w:pPr>
        <w:pStyle w:val="ad"/>
        <w:jc w:val="both"/>
      </w:pPr>
      <w:r w:rsidRPr="002E318E">
        <w:rPr>
          <w:i/>
          <w:iCs/>
          <w:color w:val="000000" w:themeColor="text1"/>
          <w:sz w:val="24"/>
          <w:szCs w:val="24"/>
        </w:rPr>
        <w:t>Крамаренко Елизавета Константиновна</w:t>
      </w:r>
      <w:r w:rsidR="00CB1E65">
        <w:rPr>
          <w:i/>
          <w:iCs/>
          <w:color w:val="000000" w:themeColor="text1"/>
          <w:sz w:val="24"/>
          <w:szCs w:val="24"/>
        </w:rPr>
        <w:t>,</w:t>
      </w:r>
      <w:r w:rsidRPr="002E318E">
        <w:rPr>
          <w:color w:val="000000" w:themeColor="text1"/>
          <w:sz w:val="24"/>
          <w:szCs w:val="24"/>
        </w:rPr>
        <w:t xml:space="preserve"> </w:t>
      </w:r>
      <w:r w:rsidR="00B52751" w:rsidRPr="002E318E">
        <w:rPr>
          <w:color w:val="000000" w:themeColor="text1"/>
          <w:sz w:val="24"/>
          <w:szCs w:val="24"/>
        </w:rPr>
        <w:t>ст.</w:t>
      </w:r>
      <w:r w:rsidR="00B52751">
        <w:rPr>
          <w:color w:val="000000" w:themeColor="text1"/>
          <w:sz w:val="24"/>
          <w:szCs w:val="24"/>
        </w:rPr>
        <w:t> </w:t>
      </w:r>
      <w:r w:rsidR="00B52751" w:rsidRPr="002E318E">
        <w:rPr>
          <w:color w:val="000000" w:themeColor="text1"/>
          <w:sz w:val="24"/>
          <w:szCs w:val="24"/>
        </w:rPr>
        <w:t>преподаватель кафедры английской филологии</w:t>
      </w:r>
      <w:r w:rsidR="00B52751">
        <w:rPr>
          <w:color w:val="000000" w:themeColor="text1"/>
          <w:sz w:val="24"/>
          <w:szCs w:val="24"/>
        </w:rPr>
        <w:t xml:space="preserve">, </w:t>
      </w:r>
      <w:proofErr w:type="spellStart"/>
      <w:r w:rsidRPr="002E318E">
        <w:rPr>
          <w:color w:val="000000" w:themeColor="text1"/>
          <w:sz w:val="24"/>
          <w:szCs w:val="24"/>
        </w:rPr>
        <w:t>e-mail</w:t>
      </w:r>
      <w:proofErr w:type="spellEnd"/>
      <w:r w:rsidRPr="002E318E">
        <w:rPr>
          <w:color w:val="000000" w:themeColor="text1"/>
          <w:sz w:val="24"/>
          <w:szCs w:val="24"/>
        </w:rPr>
        <w:t xml:space="preserve">: </w:t>
      </w:r>
      <w:hyperlink r:id="rId11" w:history="1">
        <w:proofErr w:type="spellStart"/>
        <w:r w:rsidR="00B52751" w:rsidRPr="00703D09">
          <w:rPr>
            <w:rStyle w:val="ac"/>
          </w:rPr>
          <w:t>elizabeth.kramarenko@mail.ru</w:t>
        </w:r>
        <w:proofErr w:type="spellEnd"/>
      </w:hyperlink>
    </w:p>
    <w:p w14:paraId="3A50C680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Материалы публикуются в </w:t>
      </w:r>
      <w:r w:rsidRPr="002E318E">
        <w:rPr>
          <w:b/>
          <w:bCs/>
          <w:color w:val="BF4E14" w:themeColor="accent2" w:themeShade="BF"/>
          <w:sz w:val="24"/>
          <w:szCs w:val="24"/>
        </w:rPr>
        <w:t>авторской редакции</w:t>
      </w:r>
      <w:r w:rsidRPr="002E318E">
        <w:rPr>
          <w:color w:val="000000" w:themeColor="text1"/>
          <w:sz w:val="24"/>
          <w:szCs w:val="24"/>
        </w:rPr>
        <w:t xml:space="preserve">. Количество тезисов от одного автора – </w:t>
      </w:r>
      <w:r w:rsidRPr="002E318E">
        <w:rPr>
          <w:b/>
          <w:bCs/>
          <w:color w:val="BF4E14" w:themeColor="accent2" w:themeShade="BF"/>
          <w:sz w:val="24"/>
          <w:szCs w:val="24"/>
        </w:rPr>
        <w:t>не более трех</w:t>
      </w:r>
      <w:r w:rsidRPr="002E318E">
        <w:rPr>
          <w:color w:val="000000" w:themeColor="text1"/>
          <w:sz w:val="24"/>
          <w:szCs w:val="24"/>
        </w:rPr>
        <w:t xml:space="preserve">. Количество авторов в одних тезисах – </w:t>
      </w:r>
      <w:r w:rsidRPr="002E318E">
        <w:rPr>
          <w:b/>
          <w:bCs/>
          <w:color w:val="BF4E14" w:themeColor="accent2" w:themeShade="BF"/>
          <w:sz w:val="24"/>
          <w:szCs w:val="24"/>
        </w:rPr>
        <w:t>не более трех</w:t>
      </w:r>
      <w:r w:rsidRPr="002E318E">
        <w:rPr>
          <w:color w:val="000000" w:themeColor="text1"/>
          <w:sz w:val="24"/>
          <w:szCs w:val="24"/>
        </w:rPr>
        <w:t>.</w:t>
      </w:r>
    </w:p>
    <w:p w14:paraId="47DBEABA" w14:textId="77777777" w:rsidR="00096C32" w:rsidRPr="002E318E" w:rsidRDefault="00096C32" w:rsidP="00096C32">
      <w:pPr>
        <w:pStyle w:val="ad"/>
        <w:jc w:val="both"/>
        <w:rPr>
          <w:i/>
          <w:iCs/>
          <w:color w:val="000000" w:themeColor="text1"/>
          <w:sz w:val="24"/>
          <w:szCs w:val="24"/>
        </w:rPr>
      </w:pPr>
      <w:r w:rsidRPr="002E318E">
        <w:rPr>
          <w:i/>
          <w:iCs/>
          <w:color w:val="000000" w:themeColor="text1"/>
          <w:sz w:val="24"/>
          <w:szCs w:val="24"/>
        </w:rPr>
        <w:t xml:space="preserve">Доклады, которые не отвечают тематике конференции и оформлены с нарушением приведенных ниже требований, </w:t>
      </w:r>
      <w:r w:rsidRPr="002E318E">
        <w:rPr>
          <w:b/>
          <w:bCs/>
          <w:i/>
          <w:iCs/>
          <w:color w:val="BF4E14" w:themeColor="accent2" w:themeShade="BF"/>
          <w:sz w:val="24"/>
          <w:szCs w:val="24"/>
        </w:rPr>
        <w:t>не рассматриваются</w:t>
      </w:r>
      <w:r w:rsidRPr="002E318E">
        <w:rPr>
          <w:i/>
          <w:iCs/>
          <w:color w:val="000000" w:themeColor="text1"/>
          <w:sz w:val="24"/>
          <w:szCs w:val="24"/>
        </w:rPr>
        <w:t>!</w:t>
      </w:r>
    </w:p>
    <w:p w14:paraId="5AC8AD52" w14:textId="77777777" w:rsidR="00096C32" w:rsidRDefault="00096C32" w:rsidP="00096C32">
      <w:pPr>
        <w:pStyle w:val="ad"/>
        <w:rPr>
          <w:b/>
          <w:bCs/>
          <w:color w:val="0F4761" w:themeColor="accent1" w:themeShade="BF"/>
          <w:sz w:val="24"/>
          <w:szCs w:val="24"/>
        </w:rPr>
      </w:pPr>
    </w:p>
    <w:p w14:paraId="15B0AD8C" w14:textId="77777777" w:rsidR="006959BA" w:rsidRDefault="006959BA" w:rsidP="00096C32">
      <w:pPr>
        <w:pStyle w:val="ad"/>
        <w:rPr>
          <w:b/>
          <w:bCs/>
          <w:color w:val="0F4761" w:themeColor="accent1" w:themeShade="BF"/>
          <w:sz w:val="24"/>
          <w:szCs w:val="24"/>
        </w:rPr>
        <w:sectPr w:rsidR="006959BA" w:rsidSect="006959BA">
          <w:pgSz w:w="11900" w:h="16850"/>
          <w:pgMar w:top="658" w:right="850" w:bottom="1134" w:left="1701" w:header="720" w:footer="720" w:gutter="0"/>
          <w:cols w:space="198"/>
          <w:docGrid w:linePitch="299"/>
        </w:sectPr>
      </w:pPr>
    </w:p>
    <w:p w14:paraId="5FAE1521" w14:textId="77777777" w:rsidR="00096C32" w:rsidRDefault="00096C32" w:rsidP="00096C32">
      <w:pPr>
        <w:pStyle w:val="ad"/>
        <w:rPr>
          <w:b/>
          <w:bCs/>
          <w:color w:val="0F4761" w:themeColor="accent1" w:themeShade="BF"/>
          <w:sz w:val="24"/>
          <w:szCs w:val="24"/>
        </w:rPr>
      </w:pPr>
    </w:p>
    <w:p w14:paraId="66030687" w14:textId="77777777" w:rsidR="00096C32" w:rsidRPr="0017715E" w:rsidRDefault="00096C32" w:rsidP="006959BA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Требования к оформлению тезисов</w:t>
      </w:r>
    </w:p>
    <w:p w14:paraId="1D1E650D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Объем</w:t>
      </w:r>
      <w:r w:rsidRPr="0017715E">
        <w:rPr>
          <w:color w:val="000000" w:themeColor="text1"/>
          <w:sz w:val="24"/>
          <w:szCs w:val="24"/>
        </w:rPr>
        <w:t>: 1–3 полные страницы.</w:t>
      </w:r>
    </w:p>
    <w:p w14:paraId="32176ECD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Параметры страницы</w:t>
      </w:r>
      <w:r w:rsidRPr="0017715E">
        <w:rPr>
          <w:color w:val="000000" w:themeColor="text1"/>
          <w:sz w:val="24"/>
          <w:szCs w:val="24"/>
        </w:rPr>
        <w:t xml:space="preserve">: формат – А4; поля: верхнее, нижнее – 2 см, правое – 1,5 см, левое – 3 см; абзацный отступ – 1,25 см; шрифт – Times New </w:t>
      </w:r>
      <w:proofErr w:type="spellStart"/>
      <w:r w:rsidRPr="0017715E">
        <w:rPr>
          <w:color w:val="000000" w:themeColor="text1"/>
          <w:sz w:val="24"/>
          <w:szCs w:val="24"/>
        </w:rPr>
        <w:t>Roman</w:t>
      </w:r>
      <w:proofErr w:type="spellEnd"/>
      <w:r w:rsidRPr="0017715E">
        <w:rPr>
          <w:color w:val="000000" w:themeColor="text1"/>
          <w:sz w:val="24"/>
          <w:szCs w:val="24"/>
        </w:rPr>
        <w:t>, кегль – 14; межстрочный интервал – 1 см.</w:t>
      </w:r>
    </w:p>
    <w:p w14:paraId="48028876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Расположение</w:t>
      </w:r>
      <w:r w:rsidRPr="0017715E">
        <w:rPr>
          <w:color w:val="000000" w:themeColor="text1"/>
          <w:sz w:val="24"/>
          <w:szCs w:val="24"/>
        </w:rPr>
        <w:t>: сверху слева печатаются прямым полужирным шрифтом фамилия и имя автора; под ними слева нежирным курсивом – полное название образовательного учреждения; ниже в центре – прямым полужирным шрифтом строчными буквами – название доклада без абзацного отступа.</w:t>
      </w:r>
    </w:p>
    <w:p w14:paraId="2439F67A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Примеры</w:t>
      </w:r>
      <w:r w:rsidRPr="0017715E">
        <w:rPr>
          <w:color w:val="000000" w:themeColor="text1"/>
          <w:sz w:val="24"/>
          <w:szCs w:val="24"/>
        </w:rPr>
        <w:t xml:space="preserve"> в тексте выделяются </w:t>
      </w:r>
      <w:r w:rsidRPr="0017715E">
        <w:rPr>
          <w:i/>
          <w:iCs/>
          <w:color w:val="000000" w:themeColor="text1"/>
          <w:sz w:val="24"/>
          <w:szCs w:val="24"/>
        </w:rPr>
        <w:t>курсивом</w:t>
      </w:r>
      <w:r w:rsidRPr="0017715E">
        <w:rPr>
          <w:color w:val="000000" w:themeColor="text1"/>
          <w:sz w:val="24"/>
          <w:szCs w:val="24"/>
        </w:rPr>
        <w:t xml:space="preserve">. Выделение осуществляется путем </w:t>
      </w:r>
      <w:r w:rsidRPr="0017715E">
        <w:rPr>
          <w:color w:val="000000" w:themeColor="text1"/>
          <w:sz w:val="24"/>
          <w:szCs w:val="24"/>
          <w:u w:val="single"/>
        </w:rPr>
        <w:t>подчеркивания</w:t>
      </w:r>
      <w:r w:rsidRPr="0017715E">
        <w:rPr>
          <w:color w:val="000000" w:themeColor="text1"/>
          <w:sz w:val="24"/>
          <w:szCs w:val="24"/>
        </w:rPr>
        <w:t xml:space="preserve">. Следует разграничивать </w:t>
      </w:r>
      <w:r w:rsidRPr="0017715E">
        <w:rPr>
          <w:b/>
          <w:bCs/>
          <w:color w:val="000000" w:themeColor="text1"/>
          <w:sz w:val="24"/>
          <w:szCs w:val="24"/>
        </w:rPr>
        <w:t>тире</w:t>
      </w:r>
      <w:r w:rsidRPr="0017715E">
        <w:rPr>
          <w:color w:val="000000" w:themeColor="text1"/>
          <w:sz w:val="24"/>
          <w:szCs w:val="24"/>
        </w:rPr>
        <w:t xml:space="preserve"> (–) и </w:t>
      </w:r>
      <w:r w:rsidRPr="0017715E">
        <w:rPr>
          <w:b/>
          <w:bCs/>
          <w:color w:val="000000" w:themeColor="text1"/>
          <w:sz w:val="24"/>
          <w:szCs w:val="24"/>
        </w:rPr>
        <w:t>дефис</w:t>
      </w:r>
      <w:r w:rsidRPr="0017715E">
        <w:rPr>
          <w:color w:val="000000" w:themeColor="text1"/>
          <w:sz w:val="24"/>
          <w:szCs w:val="24"/>
        </w:rPr>
        <w:t xml:space="preserve"> (-).</w:t>
      </w:r>
    </w:p>
    <w:p w14:paraId="5EB17777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Рисунков</w:t>
      </w:r>
      <w:r w:rsidRPr="0017715E">
        <w:rPr>
          <w:color w:val="000000" w:themeColor="text1"/>
          <w:sz w:val="24"/>
          <w:szCs w:val="24"/>
        </w:rPr>
        <w:t xml:space="preserve">, </w:t>
      </w:r>
      <w:r w:rsidRPr="0017715E">
        <w:rPr>
          <w:b/>
          <w:bCs/>
          <w:color w:val="000000" w:themeColor="text1"/>
          <w:sz w:val="24"/>
          <w:szCs w:val="24"/>
        </w:rPr>
        <w:t>таблиц</w:t>
      </w:r>
      <w:r w:rsidRPr="0017715E">
        <w:rPr>
          <w:color w:val="000000" w:themeColor="text1"/>
          <w:sz w:val="24"/>
          <w:szCs w:val="24"/>
        </w:rPr>
        <w:t xml:space="preserve">, </w:t>
      </w:r>
      <w:r w:rsidRPr="0017715E">
        <w:rPr>
          <w:b/>
          <w:bCs/>
          <w:color w:val="000000" w:themeColor="text1"/>
          <w:sz w:val="24"/>
          <w:szCs w:val="24"/>
        </w:rPr>
        <w:t>диаграмм</w:t>
      </w:r>
      <w:r w:rsidRPr="0017715E">
        <w:rPr>
          <w:color w:val="000000" w:themeColor="text1"/>
          <w:sz w:val="24"/>
          <w:szCs w:val="24"/>
        </w:rPr>
        <w:t xml:space="preserve"> следует избегать.</w:t>
      </w:r>
    </w:p>
    <w:p w14:paraId="59410591" w14:textId="1A772FDF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Сокращения</w:t>
      </w:r>
      <w:r w:rsidRPr="0017715E">
        <w:rPr>
          <w:color w:val="000000" w:themeColor="text1"/>
          <w:sz w:val="24"/>
          <w:szCs w:val="24"/>
        </w:rPr>
        <w:t>: понятия, повторно упоминаемые в тексте в сокращенной форме следует сопровождать при первом упоминании соответствующими аббревиатурами в</w:t>
      </w:r>
      <w:r w:rsidR="00397170">
        <w:rPr>
          <w:color w:val="000000" w:themeColor="text1"/>
          <w:sz w:val="24"/>
          <w:szCs w:val="24"/>
        </w:rPr>
        <w:t> </w:t>
      </w:r>
      <w:r w:rsidRPr="0017715E">
        <w:rPr>
          <w:color w:val="000000" w:themeColor="text1"/>
          <w:sz w:val="24"/>
          <w:szCs w:val="24"/>
        </w:rPr>
        <w:t>круглых скобках, напр.: базовое существительное (БС).</w:t>
      </w:r>
    </w:p>
    <w:p w14:paraId="2E7F76C0" w14:textId="77777777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b/>
          <w:bCs/>
          <w:color w:val="000000" w:themeColor="text1"/>
          <w:sz w:val="24"/>
          <w:szCs w:val="24"/>
        </w:rPr>
        <w:t>Ссылки</w:t>
      </w:r>
      <w:r w:rsidRPr="0017715E">
        <w:rPr>
          <w:color w:val="000000" w:themeColor="text1"/>
          <w:sz w:val="24"/>
          <w:szCs w:val="24"/>
        </w:rPr>
        <w:t xml:space="preserve"> на источники информации подаются в круглых скобках с указанием фамилии (первого) автора, года издания работы, страницы (при необходимости), напр.: (</w:t>
      </w:r>
      <w:proofErr w:type="spellStart"/>
      <w:r w:rsidRPr="0017715E">
        <w:rPr>
          <w:color w:val="000000" w:themeColor="text1"/>
          <w:sz w:val="24"/>
          <w:szCs w:val="24"/>
        </w:rPr>
        <w:t>Erben</w:t>
      </w:r>
      <w:proofErr w:type="spellEnd"/>
      <w:r w:rsidRPr="0017715E">
        <w:rPr>
          <w:color w:val="000000" w:themeColor="text1"/>
          <w:sz w:val="24"/>
          <w:szCs w:val="24"/>
        </w:rPr>
        <w:t xml:space="preserve">, 1983; </w:t>
      </w:r>
      <w:proofErr w:type="spellStart"/>
      <w:r w:rsidRPr="0017715E">
        <w:rPr>
          <w:color w:val="000000" w:themeColor="text1"/>
          <w:sz w:val="24"/>
          <w:szCs w:val="24"/>
        </w:rPr>
        <w:t>Wellmann</w:t>
      </w:r>
      <w:proofErr w:type="spellEnd"/>
      <w:r w:rsidRPr="0017715E">
        <w:rPr>
          <w:color w:val="000000" w:themeColor="text1"/>
          <w:sz w:val="24"/>
          <w:szCs w:val="24"/>
        </w:rPr>
        <w:t xml:space="preserve"> 2008: 128).</w:t>
      </w:r>
    </w:p>
    <w:p w14:paraId="6AFB6CE1" w14:textId="2C9AD78E" w:rsidR="00096C32" w:rsidRPr="0017715E" w:rsidRDefault="00096C32" w:rsidP="00096C32">
      <w:pPr>
        <w:pStyle w:val="ad"/>
        <w:numPr>
          <w:ilvl w:val="0"/>
          <w:numId w:val="2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17715E">
        <w:rPr>
          <w:color w:val="000000" w:themeColor="text1"/>
          <w:sz w:val="24"/>
          <w:szCs w:val="24"/>
        </w:rPr>
        <w:t xml:space="preserve">Тезисы завершает </w:t>
      </w:r>
      <w:r w:rsidRPr="0017715E">
        <w:rPr>
          <w:b/>
          <w:bCs/>
          <w:color w:val="000000" w:themeColor="text1"/>
          <w:sz w:val="24"/>
          <w:szCs w:val="24"/>
        </w:rPr>
        <w:t>Список литературы</w:t>
      </w:r>
      <w:r w:rsidRPr="0017715E">
        <w:rPr>
          <w:color w:val="000000" w:themeColor="text1"/>
          <w:sz w:val="24"/>
          <w:szCs w:val="24"/>
        </w:rPr>
        <w:t>, оформленный в алфавитном порядке в</w:t>
      </w:r>
      <w:r w:rsidR="00397170">
        <w:rPr>
          <w:color w:val="000000" w:themeColor="text1"/>
          <w:sz w:val="24"/>
          <w:szCs w:val="24"/>
        </w:rPr>
        <w:t> </w:t>
      </w:r>
      <w:r w:rsidRPr="0017715E">
        <w:rPr>
          <w:color w:val="000000" w:themeColor="text1"/>
          <w:sz w:val="24"/>
          <w:szCs w:val="24"/>
        </w:rPr>
        <w:t>соответствии с ГОСТ Р 7.0.100–2018. Фамилия и инициалы автора должны быть напечатаны курсивом, название и другие данные – прямым шрифтом.</w:t>
      </w:r>
    </w:p>
    <w:p w14:paraId="4A8CD85E" w14:textId="77777777" w:rsidR="00096C32" w:rsidRDefault="00096C32" w:rsidP="00096C32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</w:p>
    <w:p w14:paraId="185565E4" w14:textId="77777777" w:rsidR="00096C32" w:rsidRPr="0017715E" w:rsidRDefault="00096C32" w:rsidP="00096C32">
      <w:pPr>
        <w:pStyle w:val="ad"/>
        <w:jc w:val="center"/>
        <w:rPr>
          <w:b/>
          <w:bCs/>
          <w:color w:val="0F4761" w:themeColor="accent1" w:themeShade="BF"/>
          <w:sz w:val="24"/>
          <w:szCs w:val="24"/>
        </w:rPr>
      </w:pPr>
      <w:r w:rsidRPr="0017715E">
        <w:rPr>
          <w:b/>
          <w:bCs/>
          <w:color w:val="0F4761" w:themeColor="accent1" w:themeShade="BF"/>
          <w:sz w:val="24"/>
          <w:szCs w:val="24"/>
        </w:rPr>
        <w:t>Примеры библиографического описания</w:t>
      </w:r>
    </w:p>
    <w:p w14:paraId="1F32AA35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00000" w:themeColor="text1"/>
          <w:sz w:val="24"/>
          <w:szCs w:val="24"/>
        </w:rPr>
        <w:t>Монографии</w:t>
      </w:r>
      <w:r w:rsidRPr="002E318E">
        <w:rPr>
          <w:color w:val="000000" w:themeColor="text1"/>
          <w:sz w:val="24"/>
          <w:szCs w:val="24"/>
        </w:rPr>
        <w:t>:</w:t>
      </w:r>
    </w:p>
    <w:p w14:paraId="75B86694" w14:textId="77777777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2E318E">
        <w:rPr>
          <w:i/>
          <w:iCs/>
          <w:color w:val="000000" w:themeColor="text1"/>
          <w:sz w:val="24"/>
          <w:szCs w:val="24"/>
        </w:rPr>
        <w:t>Заботкина, В. И.</w:t>
      </w:r>
      <w:r w:rsidRPr="002E318E">
        <w:rPr>
          <w:color w:val="000000" w:themeColor="text1"/>
          <w:sz w:val="24"/>
          <w:szCs w:val="24"/>
        </w:rPr>
        <w:t xml:space="preserve"> Новая лексика современного английского языка / В. И. Заботкина. – Москва: Высшая школа, 1989. – 126 с.</w:t>
      </w:r>
    </w:p>
    <w:p w14:paraId="3E4425DD" w14:textId="4B27A163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  <w:lang w:val="es-ES"/>
        </w:rPr>
      </w:pPr>
      <w:proofErr w:type="spellStart"/>
      <w:r w:rsidRPr="002E318E">
        <w:rPr>
          <w:i/>
          <w:iCs/>
          <w:color w:val="000000" w:themeColor="text1"/>
          <w:sz w:val="24"/>
          <w:szCs w:val="24"/>
          <w:lang w:val="es-ES"/>
        </w:rPr>
        <w:t>Kaliuščenko</w:t>
      </w:r>
      <w:proofErr w:type="spellEnd"/>
      <w:r w:rsidRPr="002E318E">
        <w:rPr>
          <w:i/>
          <w:iCs/>
          <w:color w:val="000000" w:themeColor="text1"/>
          <w:sz w:val="24"/>
          <w:szCs w:val="24"/>
          <w:lang w:val="es-ES"/>
        </w:rPr>
        <w:t>, V. D.</w:t>
      </w:r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Typologie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denominaler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Verben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 / Vladimir D.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Kaliuščenko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. –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Tübingen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: Niemeyer, 2000. – 253 </w:t>
      </w:r>
      <w:r w:rsidR="00B5586F">
        <w:rPr>
          <w:color w:val="000000" w:themeColor="text1"/>
          <w:sz w:val="24"/>
          <w:szCs w:val="24"/>
          <w:lang w:val="es-ES"/>
        </w:rPr>
        <w:t>s</w:t>
      </w:r>
      <w:r w:rsidRPr="002E318E">
        <w:rPr>
          <w:color w:val="000000" w:themeColor="text1"/>
          <w:sz w:val="24"/>
          <w:szCs w:val="24"/>
          <w:lang w:val="es-ES"/>
        </w:rPr>
        <w:t>. – (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Linguistische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s-ES"/>
        </w:rPr>
        <w:t>Arbeiten</w:t>
      </w:r>
      <w:proofErr w:type="spellEnd"/>
      <w:r w:rsidRPr="002E318E">
        <w:rPr>
          <w:color w:val="000000" w:themeColor="text1"/>
          <w:sz w:val="24"/>
          <w:szCs w:val="24"/>
          <w:lang w:val="es-ES"/>
        </w:rPr>
        <w:t xml:space="preserve">; 419). </w:t>
      </w:r>
    </w:p>
    <w:p w14:paraId="576D70EA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00000" w:themeColor="text1"/>
          <w:sz w:val="24"/>
          <w:szCs w:val="24"/>
        </w:rPr>
        <w:t>Статьи в сборниках и периодических изданиях</w:t>
      </w:r>
      <w:r w:rsidRPr="002E318E">
        <w:rPr>
          <w:color w:val="000000" w:themeColor="text1"/>
          <w:sz w:val="24"/>
          <w:szCs w:val="24"/>
        </w:rPr>
        <w:t xml:space="preserve">: </w:t>
      </w:r>
    </w:p>
    <w:p w14:paraId="1C91B4D9" w14:textId="2FDBB53B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2E318E">
        <w:rPr>
          <w:i/>
          <w:iCs/>
          <w:color w:val="000000" w:themeColor="text1"/>
          <w:sz w:val="24"/>
          <w:szCs w:val="24"/>
        </w:rPr>
        <w:t>Сергеева, А. Б.</w:t>
      </w:r>
      <w:r w:rsidRPr="002E318E">
        <w:rPr>
          <w:color w:val="000000" w:themeColor="text1"/>
          <w:sz w:val="24"/>
          <w:szCs w:val="24"/>
        </w:rPr>
        <w:t xml:space="preserve"> О возможных типах толкований производного неологизма в тексте (на материале французского языка) / А. Б. Сергеева // Филологические науки. – 1991. – №</w:t>
      </w:r>
      <w:r w:rsidR="00B5586F">
        <w:rPr>
          <w:color w:val="000000" w:themeColor="text1"/>
          <w:sz w:val="24"/>
          <w:szCs w:val="24"/>
          <w:lang w:val="en-US"/>
        </w:rPr>
        <w:t> </w:t>
      </w:r>
      <w:r w:rsidRPr="002E318E">
        <w:rPr>
          <w:color w:val="000000" w:themeColor="text1"/>
          <w:sz w:val="24"/>
          <w:szCs w:val="24"/>
        </w:rPr>
        <w:t xml:space="preserve">5. – </w:t>
      </w:r>
      <w:r w:rsidR="00B5586F">
        <w:rPr>
          <w:color w:val="000000" w:themeColor="text1"/>
          <w:sz w:val="24"/>
          <w:szCs w:val="24"/>
        </w:rPr>
        <w:t>с</w:t>
      </w:r>
      <w:r w:rsidRPr="002E318E">
        <w:rPr>
          <w:color w:val="000000" w:themeColor="text1"/>
          <w:sz w:val="24"/>
          <w:szCs w:val="24"/>
        </w:rPr>
        <w:t>. 90–100.</w:t>
      </w:r>
    </w:p>
    <w:p w14:paraId="1CD3BBA1" w14:textId="574BA0E8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2E318E">
        <w:rPr>
          <w:i/>
          <w:iCs/>
          <w:color w:val="000000" w:themeColor="text1"/>
          <w:sz w:val="24"/>
          <w:szCs w:val="24"/>
          <w:lang w:val="en-US"/>
        </w:rPr>
        <w:t>Nedjalkov</w:t>
      </w:r>
      <w:proofErr w:type="spellEnd"/>
      <w:r w:rsidRPr="002E318E">
        <w:rPr>
          <w:i/>
          <w:iCs/>
          <w:color w:val="000000" w:themeColor="text1"/>
          <w:sz w:val="24"/>
          <w:szCs w:val="24"/>
          <w:lang w:val="en-US"/>
        </w:rPr>
        <w:t>, V. P.</w:t>
      </w:r>
      <w:r w:rsidRPr="002E318E">
        <w:rPr>
          <w:color w:val="000000" w:themeColor="text1"/>
          <w:sz w:val="24"/>
          <w:szCs w:val="24"/>
          <w:lang w:val="en-US"/>
        </w:rPr>
        <w:t xml:space="preserve"> The St Petersburg / Leningrad Typology Group / Vladimir P.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Nedjalkov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, Victor P. Litvinov // Approaches to Language Typology. – Oxford. – 1995. – </w:t>
      </w:r>
      <w:r w:rsidR="00B5586F">
        <w:rPr>
          <w:color w:val="000000" w:themeColor="text1"/>
          <w:sz w:val="24"/>
          <w:szCs w:val="24"/>
          <w:lang w:val="en-US"/>
        </w:rPr>
        <w:t>p</w:t>
      </w:r>
      <w:r w:rsidRPr="002E318E">
        <w:rPr>
          <w:color w:val="000000" w:themeColor="text1"/>
          <w:sz w:val="24"/>
          <w:szCs w:val="24"/>
          <w:lang w:val="en-US"/>
        </w:rPr>
        <w:t>. 215–271.</w:t>
      </w:r>
    </w:p>
    <w:p w14:paraId="01D1DE51" w14:textId="37656DA4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2E318E">
        <w:rPr>
          <w:i/>
          <w:iCs/>
          <w:color w:val="000000" w:themeColor="text1"/>
          <w:sz w:val="24"/>
          <w:szCs w:val="24"/>
          <w:lang w:val="en-US"/>
        </w:rPr>
        <w:t>Basyrov</w:t>
      </w:r>
      <w:proofErr w:type="spellEnd"/>
      <w:r w:rsidRPr="002E318E">
        <w:rPr>
          <w:i/>
          <w:iCs/>
          <w:color w:val="000000" w:themeColor="text1"/>
          <w:sz w:val="24"/>
          <w:szCs w:val="24"/>
          <w:lang w:val="en-US"/>
        </w:rPr>
        <w:t xml:space="preserve">, Sh. </w:t>
      </w:r>
      <w:r w:rsidRPr="002E318E">
        <w:rPr>
          <w:color w:val="000000" w:themeColor="text1"/>
          <w:sz w:val="24"/>
          <w:szCs w:val="24"/>
          <w:lang w:val="en-US"/>
        </w:rPr>
        <w:t xml:space="preserve">Zu den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Bildungstypen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der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deutschen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Reflexiva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/ Shamil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Basyrov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//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Semantik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und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Pragmatik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im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Spannungsfeld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der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germanistischen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und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kontrastiven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Linguistik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. – Frankfurt am Main u. a., 2013. – </w:t>
      </w:r>
      <w:r w:rsidR="00B5586F">
        <w:rPr>
          <w:color w:val="000000" w:themeColor="text1"/>
          <w:sz w:val="24"/>
          <w:szCs w:val="24"/>
          <w:lang w:val="en-US"/>
        </w:rPr>
        <w:t>s</w:t>
      </w:r>
      <w:r w:rsidRPr="002E318E">
        <w:rPr>
          <w:color w:val="000000" w:themeColor="text1"/>
          <w:sz w:val="24"/>
          <w:szCs w:val="24"/>
          <w:lang w:val="en-US"/>
        </w:rPr>
        <w:t>. 117–125. – (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Donezk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Studien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zur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Germanistik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kontrastiven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und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diachronen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E318E">
        <w:rPr>
          <w:color w:val="000000" w:themeColor="text1"/>
          <w:sz w:val="24"/>
          <w:szCs w:val="24"/>
          <w:lang w:val="en-US"/>
        </w:rPr>
        <w:t>Linguistik</w:t>
      </w:r>
      <w:proofErr w:type="spellEnd"/>
      <w:r w:rsidRPr="002E318E">
        <w:rPr>
          <w:color w:val="000000" w:themeColor="text1"/>
          <w:sz w:val="24"/>
          <w:szCs w:val="24"/>
          <w:lang w:val="en-US"/>
        </w:rPr>
        <w:t xml:space="preserve">. – Bd. 1). </w:t>
      </w:r>
    </w:p>
    <w:p w14:paraId="6B4A8032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  <w:lang w:val="en-US"/>
        </w:rPr>
      </w:pPr>
      <w:r w:rsidRPr="002E318E">
        <w:rPr>
          <w:b/>
          <w:bCs/>
          <w:color w:val="000000" w:themeColor="text1"/>
          <w:sz w:val="24"/>
          <w:szCs w:val="24"/>
        </w:rPr>
        <w:t>Словари</w:t>
      </w:r>
      <w:r w:rsidRPr="002E318E">
        <w:rPr>
          <w:color w:val="000000" w:themeColor="text1"/>
          <w:sz w:val="24"/>
          <w:szCs w:val="24"/>
          <w:lang w:val="en-US"/>
        </w:rPr>
        <w:t>:</w:t>
      </w:r>
    </w:p>
    <w:p w14:paraId="2424F5E7" w14:textId="77777777" w:rsidR="00096C32" w:rsidRPr="002E318E" w:rsidRDefault="00096C32" w:rsidP="00096C32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2E318E">
        <w:rPr>
          <w:color w:val="000000" w:themeColor="text1"/>
          <w:sz w:val="24"/>
          <w:szCs w:val="24"/>
        </w:rPr>
        <w:t xml:space="preserve">Словарь русского языка: в 4 т. / под ред. А. П. Евгеньевой. – Изд. 3-е, стер. – Москва: Русский язык: </w:t>
      </w:r>
      <w:proofErr w:type="spellStart"/>
      <w:r w:rsidRPr="002E318E">
        <w:rPr>
          <w:color w:val="000000" w:themeColor="text1"/>
          <w:sz w:val="24"/>
          <w:szCs w:val="24"/>
        </w:rPr>
        <w:t>Полиграфресурсы</w:t>
      </w:r>
      <w:proofErr w:type="spellEnd"/>
      <w:r w:rsidRPr="002E318E">
        <w:rPr>
          <w:color w:val="000000" w:themeColor="text1"/>
          <w:sz w:val="24"/>
          <w:szCs w:val="24"/>
        </w:rPr>
        <w:t>, 1999. – Т.1. – 702 с.</w:t>
      </w:r>
    </w:p>
    <w:p w14:paraId="38FA7383" w14:textId="77777777" w:rsidR="00096C32" w:rsidRPr="002E318E" w:rsidRDefault="00096C32" w:rsidP="00096C32">
      <w:pPr>
        <w:pStyle w:val="ad"/>
        <w:jc w:val="both"/>
        <w:rPr>
          <w:color w:val="000000" w:themeColor="text1"/>
          <w:sz w:val="24"/>
          <w:szCs w:val="24"/>
        </w:rPr>
      </w:pPr>
      <w:r w:rsidRPr="002E318E">
        <w:rPr>
          <w:b/>
          <w:bCs/>
          <w:color w:val="000000" w:themeColor="text1"/>
          <w:sz w:val="24"/>
          <w:szCs w:val="24"/>
        </w:rPr>
        <w:t>Электронные ресурсы</w:t>
      </w:r>
      <w:r w:rsidRPr="002E318E">
        <w:rPr>
          <w:color w:val="000000" w:themeColor="text1"/>
          <w:sz w:val="24"/>
          <w:szCs w:val="24"/>
        </w:rPr>
        <w:t>:</w:t>
      </w:r>
    </w:p>
    <w:p w14:paraId="6048E811" w14:textId="57841592" w:rsidR="00FA235F" w:rsidRPr="002E318E" w:rsidRDefault="00096C32" w:rsidP="002E318E">
      <w:pPr>
        <w:pStyle w:val="ad"/>
        <w:numPr>
          <w:ilvl w:val="0"/>
          <w:numId w:val="3"/>
        </w:numPr>
        <w:ind w:left="0" w:firstLine="357"/>
        <w:jc w:val="both"/>
        <w:rPr>
          <w:color w:val="000000" w:themeColor="text1"/>
          <w:sz w:val="24"/>
          <w:szCs w:val="24"/>
          <w:lang w:val="es-ES"/>
        </w:rPr>
      </w:pPr>
      <w:r w:rsidRPr="002E318E">
        <w:rPr>
          <w:i/>
          <w:iCs/>
          <w:color w:val="000000" w:themeColor="text1"/>
          <w:sz w:val="24"/>
          <w:szCs w:val="24"/>
          <w:lang w:val="en-US"/>
        </w:rPr>
        <w:t>Lehrer, A.</w:t>
      </w:r>
      <w:r w:rsidRPr="002E318E">
        <w:rPr>
          <w:color w:val="000000" w:themeColor="text1"/>
          <w:sz w:val="24"/>
          <w:szCs w:val="24"/>
          <w:lang w:val="en-US"/>
        </w:rPr>
        <w:t xml:space="preserve"> Understanding trendy neologisms / A. Lehrer // Italian Journal of Linguistics. </w:t>
      </w:r>
      <w:r w:rsidRPr="002E318E">
        <w:rPr>
          <w:color w:val="000000" w:themeColor="text1"/>
          <w:sz w:val="24"/>
          <w:szCs w:val="24"/>
          <w:lang w:val="es-ES"/>
        </w:rPr>
        <w:t xml:space="preserve">Revista di Linguistica. – URL: </w:t>
      </w:r>
      <w:hyperlink r:id="rId12">
        <w:r w:rsidRPr="002E318E">
          <w:rPr>
            <w:rStyle w:val="ac"/>
            <w:rFonts w:eastAsiaTheme="majorEastAsia"/>
            <w:color w:val="000000" w:themeColor="text1"/>
            <w:sz w:val="24"/>
            <w:szCs w:val="24"/>
            <w:u w:val="none"/>
            <w:lang w:val="es-ES"/>
          </w:rPr>
          <w:t>www.italian-journal-linguistics.com/wp-content/</w:t>
        </w:r>
      </w:hyperlink>
      <w:r w:rsidRPr="002E318E">
        <w:rPr>
          <w:color w:val="000000" w:themeColor="text1"/>
          <w:sz w:val="24"/>
          <w:szCs w:val="24"/>
          <w:lang w:val="es-ES"/>
        </w:rPr>
        <w:t>uploads/07.Lehrer.pdf (</w:t>
      </w:r>
      <w:r w:rsidRPr="002E318E">
        <w:rPr>
          <w:color w:val="000000" w:themeColor="text1"/>
          <w:sz w:val="24"/>
          <w:szCs w:val="24"/>
        </w:rPr>
        <w:t>дата</w:t>
      </w:r>
      <w:r w:rsidRPr="002E318E">
        <w:rPr>
          <w:color w:val="000000" w:themeColor="text1"/>
          <w:sz w:val="24"/>
          <w:szCs w:val="24"/>
          <w:lang w:val="es-ES"/>
        </w:rPr>
        <w:t xml:space="preserve"> </w:t>
      </w:r>
      <w:r w:rsidRPr="002E318E">
        <w:rPr>
          <w:color w:val="000000" w:themeColor="text1"/>
          <w:sz w:val="24"/>
          <w:szCs w:val="24"/>
        </w:rPr>
        <w:t>обращения</w:t>
      </w:r>
      <w:r w:rsidRPr="002E318E">
        <w:rPr>
          <w:color w:val="000000" w:themeColor="text1"/>
          <w:sz w:val="24"/>
          <w:szCs w:val="24"/>
          <w:lang w:val="es-ES"/>
        </w:rPr>
        <w:t>: 01.02.2025).</w:t>
      </w:r>
    </w:p>
    <w:sectPr w:rsidR="00FA235F" w:rsidRPr="002E318E" w:rsidSect="006959BA">
      <w:pgSz w:w="11900" w:h="16850"/>
      <w:pgMar w:top="658" w:right="850" w:bottom="1134" w:left="1701" w:header="720" w:footer="720" w:gutter="0"/>
      <w:cols w:space="19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448"/>
    <w:multiLevelType w:val="hybridMultilevel"/>
    <w:tmpl w:val="DA6023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7891"/>
    <w:multiLevelType w:val="hybridMultilevel"/>
    <w:tmpl w:val="DA6023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AD21F0"/>
    <w:multiLevelType w:val="hybridMultilevel"/>
    <w:tmpl w:val="99C0F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808536">
    <w:abstractNumId w:val="0"/>
  </w:num>
  <w:num w:numId="2" w16cid:durableId="681273915">
    <w:abstractNumId w:val="1"/>
  </w:num>
  <w:num w:numId="3" w16cid:durableId="838154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12"/>
    <w:rsid w:val="00096C32"/>
    <w:rsid w:val="000A5AC0"/>
    <w:rsid w:val="002E318E"/>
    <w:rsid w:val="00382857"/>
    <w:rsid w:val="00397170"/>
    <w:rsid w:val="00597FB7"/>
    <w:rsid w:val="006959BA"/>
    <w:rsid w:val="00714408"/>
    <w:rsid w:val="00887D4B"/>
    <w:rsid w:val="00947360"/>
    <w:rsid w:val="00AE744B"/>
    <w:rsid w:val="00B52751"/>
    <w:rsid w:val="00B5586F"/>
    <w:rsid w:val="00BA5F3F"/>
    <w:rsid w:val="00BB21E6"/>
    <w:rsid w:val="00CB1E65"/>
    <w:rsid w:val="00FA235F"/>
    <w:rsid w:val="00F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00C5"/>
  <w15:chartTrackingRefBased/>
  <w15:docId w15:val="{0AD1C323-8031-4124-90DE-ED0771AC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4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4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41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41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1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1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1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1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4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4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41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41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41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4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41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411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96C32"/>
    <w:rPr>
      <w:color w:val="467886" w:themeColor="hyperlink"/>
      <w:u w:val="single"/>
    </w:rPr>
  </w:style>
  <w:style w:type="paragraph" w:styleId="ad">
    <w:name w:val="No Spacing"/>
    <w:uiPriority w:val="1"/>
    <w:qFormat/>
    <w:rsid w:val="00096C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e">
    <w:name w:val="FollowedHyperlink"/>
    <w:basedOn w:val="a0"/>
    <w:uiPriority w:val="99"/>
    <w:semiHidden/>
    <w:unhideWhenUsed/>
    <w:rsid w:val="00BA5F3F"/>
    <w:rPr>
      <w:color w:val="96607D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A5F3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9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a.conf@donn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8ccab384227c0bd03e3742/" TargetMode="External"/><Relationship Id="rId12" Type="http://schemas.openxmlformats.org/officeDocument/2006/relationships/hyperlink" Target="http://www.italian-journal-linguistics.com/wp-cont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elizabeth.kramarenko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voitenko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plagia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Крамаренко</dc:creator>
  <cp:keywords/>
  <dc:description/>
  <cp:lastModifiedBy>Microsoft Office User</cp:lastModifiedBy>
  <cp:revision>13</cp:revision>
  <cp:lastPrinted>2025-01-20T05:57:00Z</cp:lastPrinted>
  <dcterms:created xsi:type="dcterms:W3CDTF">2025-01-19T13:05:00Z</dcterms:created>
  <dcterms:modified xsi:type="dcterms:W3CDTF">2025-01-24T11:48:00Z</dcterms:modified>
</cp:coreProperties>
</file>